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3B5C" w:rsidRDefault="00000000">
      <w:pPr>
        <w:rPr>
          <w:rFonts w:ascii="Verdana" w:eastAsia="Verdana" w:hAnsi="Verdana" w:cs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79378</wp:posOffset>
            </wp:positionH>
            <wp:positionV relativeFrom="paragraph">
              <wp:posOffset>-129537</wp:posOffset>
            </wp:positionV>
            <wp:extent cx="8924925" cy="1313180"/>
            <wp:effectExtent l="0" t="0" r="0" b="0"/>
            <wp:wrapNone/>
            <wp:docPr id="313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5"/>
                    <a:srcRect l="2987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8924925" cy="1313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000000">
      <w:pPr>
        <w:rPr>
          <w:rFonts w:ascii="Verdana" w:eastAsia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001125" cy="1420728"/>
                <wp:effectExtent l="0" t="0" r="0" b="0"/>
                <wp:wrapNone/>
                <wp:docPr id="312" name="Rettangolo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59725" y="3078008"/>
                          <a:ext cx="897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D3B5C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000000"/>
                                <w:sz w:val="32"/>
                              </w:rPr>
                              <w:t>PROGRAMMAZIONE DISCIPLINARE</w:t>
                            </w:r>
                          </w:p>
                          <w:p w:rsidR="00AD3B5C" w:rsidRDefault="00AD3B5C">
                            <w:pPr>
                              <w:jc w:val="center"/>
                              <w:textDirection w:val="btLr"/>
                            </w:pPr>
                          </w:p>
                          <w:p w:rsidR="00AD3B5C" w:rsidRDefault="00000000">
                            <w:pPr>
                              <w:jc w:val="center"/>
                              <w:textDirection w:val="btLr"/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 xml:space="preserve">DOCENTE: </w:t>
                            </w:r>
                            <w:r w:rsidR="002E1821"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>MARIA LUISA MARUTI</w:t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>a.s.</w:t>
                            </w:r>
                            <w:proofErr w:type="spellEnd"/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 xml:space="preserve"> 2022/23</w:t>
                            </w:r>
                          </w:p>
                          <w:p w:rsidR="002E1821" w:rsidRDefault="002E1821">
                            <w:pPr>
                              <w:jc w:val="center"/>
                              <w:textDirection w:val="btLr"/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</w:pPr>
                          </w:p>
                          <w:p w:rsidR="002E1821" w:rsidRDefault="002E1821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28"/>
                              </w:rPr>
                              <w:t>ECONOMIA AZIENDALE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312" o:spid="_x0000_s1026" style="position:absolute;margin-left:0;margin-top:1pt;width:708.75pt;height:11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">
                <v:stroke startarrowwidth="narrow" startarrowlength="short" endarrowwidth="narrow" endarrowlength="short"/>
                <v:textbox inset="2.53958mm,1.2694mm,2.53958mm,1.2694mm">
                  <w:txbxContent>
                    <w:p w:rsidR="00AD3B5C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000000"/>
                          <w:sz w:val="32"/>
                        </w:rPr>
                        <w:t>PROGRAMMAZIONE DISCIPLINARE</w:t>
                      </w:r>
                    </w:p>
                    <w:p w:rsidR="00AD3B5C" w:rsidRDefault="00AD3B5C">
                      <w:pPr>
                        <w:jc w:val="center"/>
                        <w:textDirection w:val="btLr"/>
                      </w:pPr>
                    </w:p>
                    <w:p w:rsidR="00AD3B5C" w:rsidRDefault="00000000">
                      <w:pPr>
                        <w:jc w:val="center"/>
                        <w:textDirection w:val="btLr"/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</w:pP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 xml:space="preserve">DOCENTE: </w:t>
                      </w:r>
                      <w:r w:rsidR="002E1821"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>MARIA LUISA MARUTI</w:t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 xml:space="preserve">                        </w:t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>a.s.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 xml:space="preserve"> 2022/23</w:t>
                      </w:r>
                    </w:p>
                    <w:p w:rsidR="002E1821" w:rsidRDefault="002E1821">
                      <w:pPr>
                        <w:jc w:val="center"/>
                        <w:textDirection w:val="btLr"/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</w:pPr>
                    </w:p>
                    <w:p w:rsidR="002E1821" w:rsidRDefault="002E1821">
                      <w:pPr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color w:val="000000"/>
                          <w:sz w:val="28"/>
                        </w:rPr>
                        <w:t>ECONOMIA AZIENDALE</w:t>
                      </w:r>
                    </w:p>
                  </w:txbxContent>
                </v:textbox>
              </v:rect>
            </w:pict>
          </mc:Fallback>
        </mc:AlternateContent>
      </w: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p w:rsidR="00AD3B5C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DISCIPLINA: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>ECONOMIA AZIENDALE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>CLASSE QUARTA</w:t>
      </w:r>
      <w:r w:rsidR="00601A51">
        <w:rPr>
          <w:rFonts w:ascii="Verdana" w:eastAsia="Verdana" w:hAnsi="Verdana" w:cs="Verdana"/>
          <w:b/>
          <w:sz w:val="20"/>
          <w:szCs w:val="20"/>
        </w:rPr>
        <w:t xml:space="preserve"> R</w:t>
      </w:r>
      <w:r>
        <w:rPr>
          <w:rFonts w:ascii="Verdana" w:eastAsia="Verdana" w:hAnsi="Verdana" w:cs="Verdana"/>
          <w:b/>
          <w:sz w:val="20"/>
          <w:szCs w:val="20"/>
        </w:rPr>
        <w:t xml:space="preserve"> AFM</w:t>
      </w:r>
      <w:r w:rsidR="002E1821">
        <w:rPr>
          <w:rFonts w:ascii="Verdana" w:eastAsia="Verdana" w:hAnsi="Verdana" w:cs="Verdana"/>
          <w:b/>
          <w:sz w:val="20"/>
          <w:szCs w:val="20"/>
        </w:rPr>
        <w:t xml:space="preserve"> GMS</w:t>
      </w:r>
    </w:p>
    <w:p w:rsidR="00AD3B5C" w:rsidRDefault="00000000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TESTO ADOTTATO: </w:t>
      </w:r>
      <w:r w:rsidR="002E1821">
        <w:rPr>
          <w:rFonts w:ascii="Verdana" w:eastAsia="Verdana" w:hAnsi="Verdana" w:cs="Verdana"/>
          <w:b/>
          <w:sz w:val="20"/>
          <w:szCs w:val="20"/>
        </w:rPr>
        <w:t xml:space="preserve">Entriamo in azienda up 2 – Astolfi, </w:t>
      </w:r>
      <w:proofErr w:type="spellStart"/>
      <w:r w:rsidR="002E1821">
        <w:rPr>
          <w:rFonts w:ascii="Verdana" w:eastAsia="Verdana" w:hAnsi="Verdana" w:cs="Verdana"/>
          <w:b/>
          <w:sz w:val="20"/>
          <w:szCs w:val="20"/>
        </w:rPr>
        <w:t>Rascioni</w:t>
      </w:r>
      <w:proofErr w:type="spellEnd"/>
      <w:r w:rsidR="002E1821">
        <w:rPr>
          <w:rFonts w:ascii="Verdana" w:eastAsia="Verdana" w:hAnsi="Verdana" w:cs="Verdana"/>
          <w:b/>
          <w:sz w:val="20"/>
          <w:szCs w:val="20"/>
        </w:rPr>
        <w:t xml:space="preserve"> &amp; Ricci - TRAMONTANA</w:t>
      </w:r>
    </w:p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b/>
          <w:sz w:val="20"/>
          <w:szCs w:val="20"/>
        </w:rPr>
      </w:pPr>
    </w:p>
    <w:tbl>
      <w:tblPr>
        <w:tblStyle w:val="ad"/>
        <w:tblW w:w="141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2"/>
      </w:tblGrid>
      <w:tr w:rsidR="00AD3B5C">
        <w:trPr>
          <w:jc w:val="center"/>
        </w:trPr>
        <w:tc>
          <w:tcPr>
            <w:tcW w:w="1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AD3B5C">
        <w:trPr>
          <w:jc w:val="center"/>
        </w:trPr>
        <w:tc>
          <w:tcPr>
            <w:tcW w:w="1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Gestire il sistema delle rilevazioni aziendali</w:t>
            </w:r>
          </w:p>
        </w:tc>
      </w:tr>
      <w:tr w:rsidR="00AD3B5C">
        <w:trPr>
          <w:jc w:val="center"/>
        </w:trPr>
        <w:tc>
          <w:tcPr>
            <w:tcW w:w="1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Le operazioni di assestamento, di chiusura e riapertura dei conti (raccordo dalla classe terza)</w:t>
            </w:r>
          </w:p>
        </w:tc>
      </w:tr>
      <w:tr w:rsidR="00AD3B5C">
        <w:trPr>
          <w:jc w:val="center"/>
        </w:trPr>
        <w:tc>
          <w:tcPr>
            <w:tcW w:w="1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TRIMESTRE</w:t>
            </w:r>
          </w:p>
        </w:tc>
      </w:tr>
      <w:tr w:rsidR="00AD3B5C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</w:tr>
      <w:tr w:rsidR="00AD3B5C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Comporre le scritture di assestamento </w:t>
            </w:r>
          </w:p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Applicare il principio della competenza economica</w:t>
            </w:r>
          </w:p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Riconoscere le scritture di assestamento </w:t>
            </w:r>
          </w:p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Registrare in P.D. le scritture di assestamento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Registrare in P.D. le scritture di epilogo e chiusura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Registrare in P.D. le scritture di riapertura e gestire le poste a cavallo dei due esercizi</w:t>
            </w:r>
            <w:r w:rsidR="00C70B63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delle operazioni più rilevanti.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Le scritture di assestamento: completamento, integrazione, rettifica e ammortamento</w:t>
            </w:r>
          </w:p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rilevazione del risultato economico</w:t>
            </w:r>
          </w:p>
          <w:p w:rsidR="00AD3B5C" w:rsidRDefault="00000000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jc w:val="both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chiusura generale dei conti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riapertura dei conti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sistemazione dei ratei, dei risconti, delle rimanenze e delle fatture da ricevere/emettere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 prevede di effettuare verifiche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1) prove strutturate con esercizi di completamento, domande aperte e risoluzione di problemi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Strumenti: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Slides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 </w:t>
            </w:r>
          </w:p>
          <w:p w:rsidR="00C70B63" w:rsidRDefault="00000000" w:rsidP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lezione frontale, lezione partecipata/interattiva, esercitazioni guidate 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e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111"/>
        <w:gridCol w:w="2693"/>
        <w:gridCol w:w="2724"/>
      </w:tblGrid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FISSATE DALLA NORMATIVA: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 xml:space="preserve">Individuare e accedere alla normativa pubblicistica, civilistica e fiscale con particolare riferimento alle attività aziendali. 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Gestire il sistema delle rilevazioni aziendali con l’ausilio di programmi di contabilità integrata.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Utilizzare i sistemi informativi aziendali e gli strumenti di comunicazione integrata d’impresa per realizzare attività comunicative con riferimento a differenti contesti.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Modulo: La gestione dei beni strumentali: U. D. Acquisizione, utilizzazione e dismissione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 TRIMESTRE</w:t>
            </w:r>
          </w:p>
        </w:tc>
      </w:tr>
      <w:tr w:rsidR="00AD3B5C">
        <w:trPr>
          <w:jc w:val="center"/>
        </w:trPr>
        <w:tc>
          <w:tcPr>
            <w:tcW w:w="4598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724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</w:tr>
      <w:tr w:rsidR="00AD3B5C">
        <w:trPr>
          <w:trHeight w:val="1240"/>
          <w:jc w:val="center"/>
        </w:trPr>
        <w:tc>
          <w:tcPr>
            <w:tcW w:w="4598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Rilevare in P.D. le principali operazioni relative ai beni strumentali riguardanti </w:t>
            </w:r>
            <w:proofErr w:type="gramStart"/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l’acquisizione ,</w:t>
            </w:r>
            <w:proofErr w:type="gramEnd"/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utilizzo, dismissione e ammortamento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Rilevare e saper individuare i casi di patrimonializzazione dei costi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Rilevare le quote di ammortamento anche proporzionalmente al tempo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Rilevare ed effettuare i calcoli relativi al contratto di leasing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Caratteristiche dei beni strumentali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acquisizione: acquisto, apporto, leasing e costruzioni interne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Utilizzo dei beni: manutenzioni e riparazioni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Casi di dismissione dei cespiti: vendita e permuta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Ammortamento dei beni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 prevede di effettuare verifiche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1) prove strutturate con esercizi di completamento, domande aperte e risoluzione di problemi,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2) esercizi di applicazione: risoluzione di problemi e compilazione di documenti 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724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Strumenti: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Libro di testo </w:t>
            </w:r>
          </w:p>
          <w:p w:rsidR="00C70B63" w:rsidRDefault="00C70B63" w:rsidP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Slides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lezione frontale, lezione partecipata, esercitazioni guidate, analisi di casi</w:t>
            </w:r>
          </w:p>
        </w:tc>
      </w:tr>
    </w:tbl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f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4"/>
        <w:gridCol w:w="3884"/>
        <w:gridCol w:w="2894"/>
        <w:gridCol w:w="2724"/>
      </w:tblGrid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FISSATE DALLA NORMATIVA: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 xml:space="preserve">Individuare le caratteristiche del mercato del lavoro e collaborare alla gestione delle risorse umane. 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Individuare e accedere alla normativa civilistica e fiscale con particolare riferimento alle attività aziendali.</w:t>
            </w:r>
          </w:p>
        </w:tc>
      </w:tr>
      <w:tr w:rsidR="00AD3B5C">
        <w:trPr>
          <w:trHeight w:val="300"/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Gestire il sistema delle rilevazioni aziendali.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lastRenderedPageBreak/>
              <w:t>Modulo: La gestione risorse umane: U. D.: Le risorse umane in azienda; U.D.: L’amministrazione del personale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TRIMESTRE</w:t>
            </w:r>
          </w:p>
        </w:tc>
      </w:tr>
      <w:tr w:rsidR="00AD3B5C">
        <w:trPr>
          <w:jc w:val="center"/>
        </w:trPr>
        <w:tc>
          <w:tcPr>
            <w:tcW w:w="462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388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289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72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</w:tr>
      <w:tr w:rsidR="00AD3B5C">
        <w:trPr>
          <w:trHeight w:val="680"/>
          <w:jc w:val="center"/>
        </w:trPr>
        <w:tc>
          <w:tcPr>
            <w:tcW w:w="4624" w:type="dxa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Identificare i compiti della funzione delle risorse umane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Redigere il CV europeo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Distinguere i vari tipi di rapporto di lavoro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Orientarsi tra le più comuni forme di contratto di lavoro flessibili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Raffrontare tipi diversi di rapporti di lavoro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i compiti dell’amministrazione del personale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Riconoscere i differenti elementi della retribuzione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le finalità dell’attività svolta dalle assicurazioni sociali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Registrare in P.D. le retribuzioni dei dipendenti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Calcolare e registrare in P.D. il TFR </w:t>
            </w:r>
          </w:p>
        </w:tc>
        <w:tc>
          <w:tcPr>
            <w:tcW w:w="3884" w:type="dxa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funzione delle risorse umane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Struttura del curriculum vitae europeo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Tipologia di rapporti di lavoro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Norme che regolano il rapporto di lavoro subordinato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Nuovi orientamenti del mercato del lavoro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Caratteri dei principali contratti di lavoro flessibili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Forme contrattuali per favorire l’occupazione giovanile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L’amministrazione del personale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Elementi della retribuzione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Gli istituti previdenziali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L’estinzione del rapporto di lavoro e il TFR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Il costo del lavoro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I libri obbligatori del datore di lavoro</w:t>
            </w: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894" w:type="dxa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 prevede di effettuare verifiche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1) prove strutturate con esercizi di completamento, domande aperte e risoluzione di problemi,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2) esercizi di applicazione: risoluzione di problemi e compilazione di documenti,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3) interrogazioni </w:t>
            </w:r>
          </w:p>
        </w:tc>
        <w:tc>
          <w:tcPr>
            <w:tcW w:w="2724" w:type="dxa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Strumenti: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Libro di testo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Costituzione, Codice civile, legislazione sul lavoro e TUIR </w:t>
            </w:r>
          </w:p>
          <w:p w:rsidR="00AD3B5C" w:rsidRDefault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Slides</w:t>
            </w:r>
          </w:p>
          <w:p w:rsidR="00C70B63" w:rsidRDefault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Power point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</w:t>
            </w:r>
          </w:p>
          <w:p w:rsidR="00AD3B5C" w:rsidRDefault="00000000" w:rsidP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lezione frontale, lezione partecipata, esercitazioni guidate, lavoro di gruppo, analisi di casi</w:t>
            </w:r>
          </w:p>
        </w:tc>
      </w:tr>
    </w:tbl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p w:rsidR="00AD3B5C" w:rsidRDefault="00C70B63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Da svolgere in autonomia nei mesi estivi.</w:t>
      </w:r>
    </w:p>
    <w:p w:rsidR="00AD3B5C" w:rsidRDefault="00AD3B5C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f4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3"/>
        <w:gridCol w:w="3884"/>
        <w:gridCol w:w="2915"/>
        <w:gridCol w:w="2724"/>
      </w:tblGrid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FISSATE DALLA NORMATIVA: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 xml:space="preserve">Inquadrare l’attività di marketing nel ciclo di vita dell’azienda e realizzare applicazioni con riferimento a specifici contesti e diverse politiche di mercato. 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lastRenderedPageBreak/>
              <w:t>Utilizzare gli strumenti di comunicazione integrata d’impresa per realizzare attività comunicative.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MODULO: La gestione delle vendite: U. D.: Il marketing mix: prodotto, prezzo, comunicazione; U. D.: Il marketing mix: la distribuzione</w:t>
            </w:r>
          </w:p>
        </w:tc>
      </w:tr>
      <w:tr w:rsidR="00AD3B5C">
        <w:trPr>
          <w:jc w:val="center"/>
        </w:trPr>
        <w:tc>
          <w:tcPr>
            <w:tcW w:w="14126" w:type="dxa"/>
            <w:gridSpan w:val="4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 PENTAMESTRE</w:t>
            </w:r>
            <w:proofErr w:type="gramEnd"/>
          </w:p>
        </w:tc>
      </w:tr>
      <w:tr w:rsidR="00AD3B5C">
        <w:trPr>
          <w:jc w:val="center"/>
        </w:trPr>
        <w:tc>
          <w:tcPr>
            <w:tcW w:w="4603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388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2915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724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</w:tr>
      <w:tr w:rsidR="00AD3B5C">
        <w:trPr>
          <w:trHeight w:val="1720"/>
          <w:jc w:val="center"/>
        </w:trPr>
        <w:tc>
          <w:tcPr>
            <w:tcW w:w="4603" w:type="dxa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Analizzare il percorso di cambiamento dei mercati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le strategie di marketing più idonee alle diverse esigenze e tipologie di prodotto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gli elementi base di un piano di marketing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le strategie di marketing e le azioni specifiche da attivare per raggiungere gli obiettivi strategici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le fasi del ciclo di vita del prodotto e le relative strategie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Riconoscere gli obiettivi della leva del prezzo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il percorso distributivo più adatto per i diversi prodotti </w:t>
            </w:r>
          </w:p>
        </w:tc>
        <w:tc>
          <w:tcPr>
            <w:tcW w:w="3884" w:type="dxa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gestione delle vendite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Il sistema informativo di marketing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Ricerche di marketing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Il piano di marketing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qualità totale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Il marketing mix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Il prodotto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politica di prodotto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politica di prezzo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politica di comunicazione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politica distributiva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L’apparato distributivo </w:t>
            </w: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:rsidR="00AD3B5C" w:rsidRDefault="00AD3B5C" w:rsidP="00601A51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915" w:type="dxa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Si prevede di effettuare </w:t>
            </w:r>
            <w:r w:rsidR="00C70B63">
              <w:rPr>
                <w:rFonts w:ascii="Verdana" w:eastAsia="Verdana" w:hAnsi="Verdana" w:cs="Verdana"/>
                <w:sz w:val="20"/>
                <w:szCs w:val="20"/>
              </w:rPr>
              <w:t xml:space="preserve">all’inizio del prossimo anno scolastico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verific</w:t>
            </w:r>
            <w:r w:rsidR="00C70B63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1) prov</w:t>
            </w:r>
            <w:r w:rsidR="00601A51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strutturat</w:t>
            </w:r>
            <w:r w:rsidR="00601A51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con esercizi di completamento, domande aperte e risoluzione di problemi 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724" w:type="dxa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Strumenti: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Libro di testo </w:t>
            </w:r>
          </w:p>
          <w:p w:rsidR="00601A51" w:rsidRDefault="00601A51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Slides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</w:t>
            </w:r>
          </w:p>
          <w:p w:rsidR="00AD3B5C" w:rsidRDefault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studio in autonomia</w:t>
            </w:r>
          </w:p>
        </w:tc>
      </w:tr>
    </w:tbl>
    <w:p w:rsidR="00AD3B5C" w:rsidRDefault="00AD3B5C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f5"/>
        <w:tblW w:w="14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94"/>
        <w:gridCol w:w="3494"/>
        <w:gridCol w:w="100"/>
        <w:gridCol w:w="2951"/>
        <w:gridCol w:w="132"/>
        <w:gridCol w:w="2046"/>
        <w:gridCol w:w="2069"/>
      </w:tblGrid>
      <w:tr w:rsidR="00AD3B5C">
        <w:trPr>
          <w:trHeight w:val="240"/>
          <w:jc w:val="center"/>
        </w:trPr>
        <w:tc>
          <w:tcPr>
            <w:tcW w:w="14284" w:type="dxa"/>
            <w:gridSpan w:val="7"/>
            <w:tcBorders>
              <w:top w:val="single" w:sz="4" w:space="0" w:color="000000"/>
            </w:tcBorders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MODULO: L’attività d’impresa in forma societaria: U. D.: Le società di capitali</w:t>
            </w:r>
          </w:p>
        </w:tc>
      </w:tr>
      <w:tr w:rsidR="00AD3B5C">
        <w:trPr>
          <w:trHeight w:val="240"/>
          <w:jc w:val="center"/>
        </w:trPr>
        <w:tc>
          <w:tcPr>
            <w:tcW w:w="14284" w:type="dxa"/>
            <w:gridSpan w:val="7"/>
            <w:tcBorders>
              <w:top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 PENTAMESTRE</w:t>
            </w:r>
            <w:proofErr w:type="gramEnd"/>
          </w:p>
        </w:tc>
      </w:tr>
      <w:tr w:rsidR="00AD3B5C">
        <w:trPr>
          <w:trHeight w:val="840"/>
          <w:jc w:val="center"/>
        </w:trPr>
        <w:tc>
          <w:tcPr>
            <w:tcW w:w="3493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3493" w:type="dxa"/>
            <w:tcBorders>
              <w:bottom w:val="single" w:sz="4" w:space="0" w:color="000000"/>
            </w:tcBorders>
            <w:vAlign w:val="center"/>
          </w:tcPr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2046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069" w:type="dxa"/>
            <w:tcBorders>
              <w:bottom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D3B5C">
        <w:trPr>
          <w:trHeight w:val="1240"/>
          <w:jc w:val="center"/>
        </w:trPr>
        <w:tc>
          <w:tcPr>
            <w:tcW w:w="3493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Individuare le caratteristiche delle società di capitali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Predisporre progetti di riparto utili e di copertura delle perdite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Redigere le scritture in P.D. relative alle operazioni tipiche delle società di capitali</w:t>
            </w:r>
          </w:p>
        </w:tc>
        <w:tc>
          <w:tcPr>
            <w:tcW w:w="3493" w:type="dxa"/>
            <w:tcBorders>
              <w:bottom w:val="single" w:sz="4" w:space="0" w:color="000000"/>
            </w:tcBorders>
          </w:tcPr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Le caratteristiche delle società di capitali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fase costitutiva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destinazione dell’utile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La copertura della perdita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Gli aumenti e le riduzioni di capitale sociale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La raccolta di capitale di debito</w:t>
            </w: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046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Si prevede di effettuare verifiche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1) prove strutturate con </w:t>
            </w: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esercizi di completamento, domande aperte e risoluzione di problemi,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2) esercizi di applicazione: risoluzione di problemi e compilazione di documenti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Strumenti: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Libro di testo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Codice civile </w:t>
            </w:r>
          </w:p>
          <w:p w:rsidR="00601A51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Casi aziendali</w:t>
            </w:r>
          </w:p>
          <w:p w:rsidR="00AD3B5C" w:rsidRDefault="00601A51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</w:t>
            </w:r>
            <w:r w:rsidR="00000000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lezione frontale, lezione partecipata, esercitazioni guidate, analisi di casi</w:t>
            </w:r>
          </w:p>
        </w:tc>
      </w:tr>
      <w:tr w:rsidR="00AD3B5C">
        <w:trPr>
          <w:trHeight w:val="210"/>
          <w:jc w:val="center"/>
        </w:trPr>
        <w:tc>
          <w:tcPr>
            <w:tcW w:w="349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3B5C" w:rsidRDefault="00AD3B5C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3B5C" w:rsidRDefault="00AD3B5C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3B5C" w:rsidRDefault="00AD3B5C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D3B5C">
        <w:trPr>
          <w:jc w:val="center"/>
        </w:trPr>
        <w:tc>
          <w:tcPr>
            <w:tcW w:w="14284" w:type="dxa"/>
            <w:gridSpan w:val="7"/>
            <w:tcBorders>
              <w:top w:val="single" w:sz="4" w:space="0" w:color="000000"/>
            </w:tcBorders>
            <w:vAlign w:val="center"/>
          </w:tcPr>
          <w:p w:rsidR="00AD3B5C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MODULO La comunicazione economico-finanziaria: U. D.: Il bilancio d’esercizio civilistico</w:t>
            </w:r>
          </w:p>
        </w:tc>
      </w:tr>
      <w:tr w:rsidR="00AD3B5C">
        <w:trPr>
          <w:jc w:val="center"/>
        </w:trPr>
        <w:tc>
          <w:tcPr>
            <w:tcW w:w="14284" w:type="dxa"/>
            <w:gridSpan w:val="7"/>
            <w:tcBorders>
              <w:top w:val="single" w:sz="4" w:space="0" w:color="000000"/>
            </w:tcBorders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 PENTAMESTRE</w:t>
            </w:r>
            <w:proofErr w:type="gramEnd"/>
          </w:p>
        </w:tc>
      </w:tr>
      <w:tr w:rsidR="00AD3B5C">
        <w:trPr>
          <w:jc w:val="center"/>
        </w:trPr>
        <w:tc>
          <w:tcPr>
            <w:tcW w:w="7086" w:type="dxa"/>
            <w:gridSpan w:val="3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2951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2178" w:type="dxa"/>
            <w:gridSpan w:val="2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069" w:type="dxa"/>
            <w:vAlign w:val="center"/>
          </w:tcPr>
          <w:p w:rsidR="00AD3B5C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:rsidR="00AD3B5C" w:rsidRDefault="00AD3B5C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</w:tr>
      <w:tr w:rsidR="00AD3B5C">
        <w:trPr>
          <w:trHeight w:val="840"/>
          <w:jc w:val="center"/>
        </w:trPr>
        <w:tc>
          <w:tcPr>
            <w:tcW w:w="7086" w:type="dxa"/>
            <w:gridSpan w:val="3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Redigere e commentare i documenti che compongono il bilancio Civilistico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Individuare e interpretare i documenti che compongono il sistema informativo di bilancio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Analizzare i principi di redazione del bilancio e i criteri di valutazione </w:t>
            </w: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951" w:type="dxa"/>
          </w:tcPr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Funzioni del bilancio d’esercizio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Normativa civilistica sul bilancio d’esercizio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Parti e allegati del bilancio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Struttura, forma e contenuto dello Stato patrimoniale e del Conto economico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Contenuto della Nota integrativa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Redazione e approvazione del bilancio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Le relazioni accompagnatorie </w:t>
            </w:r>
          </w:p>
          <w:p w:rsidR="00AD3B5C" w:rsidRDefault="00000000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I criteri di valutazione </w:t>
            </w:r>
          </w:p>
          <w:p w:rsidR="00AD3B5C" w:rsidRDefault="00AD3B5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:rsidR="00AD3B5C" w:rsidRDefault="00AD3B5C" w:rsidP="00C70B6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2178" w:type="dxa"/>
            <w:gridSpan w:val="2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 prevede di effettuare verifiche utilizzando le seguenti tipologie: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1) prove strutturate con esercizi di completamento, domande aperte e risoluzione di problemi,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2) esercizi di applicazione: risoluzione di problemi e compilazione di documenti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069" w:type="dxa"/>
          </w:tcPr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Strumenti: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Libro di testo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Codice civile </w:t>
            </w:r>
          </w:p>
          <w:p w:rsidR="00AD3B5C" w:rsidRDefault="00000000" w:rsidP="00C70B6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Principi contabili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Documenti aziendali </w:t>
            </w:r>
          </w:p>
          <w:p w:rsidR="00601A51" w:rsidRDefault="00601A51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Slides</w:t>
            </w:r>
          </w:p>
          <w:p w:rsidR="00AD3B5C" w:rsidRDefault="00AD3B5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Metodi: </w:t>
            </w:r>
          </w:p>
          <w:p w:rsidR="00AD3B5C" w:rsidRDefault="00000000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lezione frontale, lezione partecipata, esercitazioni guidate</w:t>
            </w:r>
          </w:p>
        </w:tc>
      </w:tr>
    </w:tbl>
    <w:p w:rsidR="00C70B63" w:rsidRDefault="00C70B63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sectPr w:rsidR="00C70B63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B5C"/>
    <w:rsid w:val="002E1821"/>
    <w:rsid w:val="00601A51"/>
    <w:rsid w:val="009B1765"/>
    <w:rsid w:val="00AD3B5C"/>
    <w:rsid w:val="00C7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3C9A"/>
  <w15:docId w15:val="{6CC8DF02-1623-7344-8B6F-135C9868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15D4"/>
    <w:rPr>
      <w:rFonts w:eastAsia="SimSun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4B8"/>
    <w:pPr>
      <w:keepNext/>
      <w:numPr>
        <w:ilvl w:val="12"/>
      </w:numPr>
      <w:jc w:val="center"/>
      <w:outlineLvl w:val="0"/>
    </w:pPr>
    <w:rPr>
      <w:rFonts w:ascii="Arial" w:hAnsi="Arial"/>
      <w:i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74B8"/>
    <w:pPr>
      <w:keepNext/>
      <w:jc w:val="center"/>
      <w:outlineLvl w:val="1"/>
    </w:pPr>
    <w:rPr>
      <w:rFonts w:ascii="Book Antiqua" w:hAnsi="Book Antiqua"/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10336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A10336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uiPriority w:val="99"/>
    <w:rsid w:val="001A74B8"/>
    <w:pPr>
      <w:numPr>
        <w:ilvl w:val="12"/>
      </w:numPr>
      <w:jc w:val="center"/>
    </w:pPr>
    <w:rPr>
      <w:sz w:val="16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10336"/>
    <w:rPr>
      <w:rFonts w:eastAsia="SimSun" w:cs="Times New Roman"/>
      <w:sz w:val="24"/>
      <w:szCs w:val="24"/>
      <w:lang w:eastAsia="zh-CN"/>
    </w:rPr>
  </w:style>
  <w:style w:type="paragraph" w:customStyle="1" w:styleId="Default">
    <w:name w:val="Default"/>
    <w:rsid w:val="00BF3BA2"/>
    <w:pPr>
      <w:autoSpaceDE w:val="0"/>
      <w:autoSpaceDN w:val="0"/>
      <w:adjustRightInd w:val="0"/>
    </w:pPr>
    <w:rPr>
      <w:color w:val="000000"/>
    </w:rPr>
  </w:style>
  <w:style w:type="paragraph" w:styleId="Corpodeltesto2">
    <w:name w:val="Body Text 2"/>
    <w:basedOn w:val="Normale"/>
    <w:link w:val="Corpodeltesto2Carattere"/>
    <w:uiPriority w:val="99"/>
    <w:rsid w:val="00BF3BA2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85500"/>
    <w:rPr>
      <w:rFonts w:eastAsia="SimSun"/>
      <w:sz w:val="24"/>
      <w:szCs w:val="24"/>
      <w:lang w:eastAsia="zh-C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JB4s6JPhtFUg7YbJrASvG9JKkg==">AMUW2mV7dgaCwJK52t8as677Jwkucc7+CyrR/X1D3qiMO2TexOpm1sq+GrAWF1SrW9YpM1kyh9QY3bV/2kAO+rnuovXdnXYAP1zUVCqaqk4dBIrDjwbZ02o5nFi2+Nn+u5OKQTVRE9Rt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 Luisa Maruti</cp:lastModifiedBy>
  <cp:revision>4</cp:revision>
  <dcterms:created xsi:type="dcterms:W3CDTF">2023-06-01T12:36:00Z</dcterms:created>
  <dcterms:modified xsi:type="dcterms:W3CDTF">2023-06-04T10:33:00Z</dcterms:modified>
</cp:coreProperties>
</file>