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10" w:rsidRDefault="007C1710" w:rsidP="007C1710">
      <w:pPr>
        <w:keepNext/>
        <w:keepLines/>
        <w:spacing w:before="240" w:after="240" w:line="216" w:lineRule="auto"/>
        <w:ind w:left="0" w:right="0"/>
        <w:jc w:val="both"/>
        <w:rPr>
          <w:rFonts w:ascii="Verdana" w:eastAsia="Verdana" w:hAnsi="Verdana" w:cs="Verdana"/>
          <w:b/>
          <w:sz w:val="24"/>
          <w:szCs w:val="24"/>
          <w:highlight w:val="white"/>
        </w:rPr>
      </w:pPr>
      <w:r>
        <w:rPr>
          <w:rFonts w:ascii="Verdana" w:eastAsia="Verdana" w:hAnsi="Verdana" w:cs="Verdana"/>
          <w:b/>
          <w:sz w:val="24"/>
          <w:szCs w:val="24"/>
          <w:highlight w:val="white"/>
        </w:rPr>
        <w:t xml:space="preserve">DOCENTE:    </w:t>
      </w:r>
      <w:r>
        <w:rPr>
          <w:rFonts w:ascii="Verdana" w:eastAsia="Verdana" w:hAnsi="Verdana" w:cs="Verdana"/>
          <w:b/>
          <w:sz w:val="24"/>
          <w:szCs w:val="24"/>
          <w:highlight w:val="white"/>
        </w:rPr>
        <w:tab/>
        <w:t>Elisabetta Merolla</w:t>
      </w:r>
    </w:p>
    <w:p w:rsidR="007C1710" w:rsidRDefault="007C1710" w:rsidP="007C1710">
      <w:pPr>
        <w:keepNext/>
        <w:keepLines/>
        <w:spacing w:before="240" w:after="240" w:line="216" w:lineRule="auto"/>
        <w:ind w:left="0" w:right="0"/>
        <w:jc w:val="both"/>
        <w:rPr>
          <w:rFonts w:ascii="Verdana" w:eastAsia="Verdana" w:hAnsi="Verdana" w:cs="Verdana"/>
          <w:b/>
          <w:sz w:val="24"/>
          <w:szCs w:val="24"/>
          <w:highlight w:val="white"/>
        </w:rPr>
      </w:pPr>
      <w:r>
        <w:rPr>
          <w:rFonts w:ascii="Verdana" w:eastAsia="Verdana" w:hAnsi="Verdana" w:cs="Verdana"/>
          <w:b/>
          <w:sz w:val="24"/>
          <w:szCs w:val="24"/>
          <w:highlight w:val="white"/>
        </w:rPr>
        <w:t xml:space="preserve">DISCIPLINA:    Lingua e letteratura italiana </w:t>
      </w:r>
      <w:r>
        <w:rPr>
          <w:rFonts w:ascii="Verdana" w:eastAsia="Verdana" w:hAnsi="Verdana" w:cs="Verdana"/>
          <w:b/>
          <w:sz w:val="24"/>
          <w:szCs w:val="24"/>
          <w:highlight w:val="white"/>
        </w:rPr>
        <w:tab/>
        <w:t xml:space="preserve">            </w:t>
      </w:r>
      <w:r>
        <w:rPr>
          <w:rFonts w:ascii="Verdana" w:eastAsia="Verdana" w:hAnsi="Verdana" w:cs="Verdana"/>
          <w:b/>
          <w:sz w:val="24"/>
          <w:szCs w:val="24"/>
          <w:highlight w:val="white"/>
        </w:rPr>
        <w:tab/>
        <w:t xml:space="preserve">                                       </w:t>
      </w:r>
      <w:r>
        <w:rPr>
          <w:rFonts w:ascii="Verdana" w:eastAsia="Verdana" w:hAnsi="Verdana" w:cs="Verdana"/>
          <w:b/>
          <w:sz w:val="24"/>
          <w:szCs w:val="24"/>
          <w:highlight w:val="white"/>
        </w:rPr>
        <w:tab/>
      </w:r>
    </w:p>
    <w:p w:rsidR="007C1710" w:rsidRDefault="007C1710" w:rsidP="007C1710">
      <w:pPr>
        <w:keepNext/>
        <w:keepLines/>
        <w:spacing w:before="240" w:after="240" w:line="216" w:lineRule="auto"/>
        <w:ind w:left="0" w:right="0"/>
        <w:jc w:val="both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  <w:r>
        <w:rPr>
          <w:rFonts w:ascii="Times New Roman" w:eastAsia="Times New Roman" w:hAnsi="Times New Roman" w:cs="Times New Roman"/>
          <w:sz w:val="16"/>
          <w:szCs w:val="16"/>
          <w:highlight w:val="white"/>
        </w:rPr>
        <w:t xml:space="preserve"> </w:t>
      </w:r>
    </w:p>
    <w:p w:rsidR="007C1710" w:rsidRDefault="007C1710" w:rsidP="007C1710">
      <w:pPr>
        <w:keepNext/>
        <w:keepLines/>
        <w:spacing w:before="240" w:after="240"/>
        <w:ind w:left="0" w:right="0"/>
        <w:jc w:val="both"/>
        <w:rPr>
          <w:rFonts w:ascii="Verdana" w:eastAsia="Verdana" w:hAnsi="Verdana" w:cs="Verdana"/>
          <w:i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sz w:val="20"/>
          <w:szCs w:val="20"/>
          <w:highlight w:val="white"/>
        </w:rPr>
        <w:t xml:space="preserve">TESTO IN ADOZIONE: </w:t>
      </w:r>
      <w:r>
        <w:rPr>
          <w:rFonts w:ascii="Verdana" w:eastAsia="Verdana" w:hAnsi="Verdana" w:cs="Verdana"/>
          <w:i/>
          <w:sz w:val="20"/>
          <w:szCs w:val="20"/>
          <w:highlight w:val="white"/>
        </w:rPr>
        <w:t>CARLA’, SGROI “LETTERATURA INCONTESTO” VOL. 3°, ED. PALUMBO</w:t>
      </w:r>
    </w:p>
    <w:p w:rsidR="007C1710" w:rsidRDefault="007C1710" w:rsidP="007C1710">
      <w:pPr>
        <w:keepNext/>
        <w:keepLines/>
        <w:spacing w:before="240" w:after="240" w:line="216" w:lineRule="auto"/>
        <w:ind w:left="0" w:right="0"/>
        <w:jc w:val="both"/>
        <w:rPr>
          <w:rFonts w:ascii="Verdana" w:eastAsia="Verdana" w:hAnsi="Verdana" w:cs="Verdana"/>
          <w:sz w:val="20"/>
          <w:szCs w:val="20"/>
          <w:highlight w:val="white"/>
        </w:rPr>
      </w:pPr>
    </w:p>
    <w:p w:rsidR="007C1710" w:rsidRDefault="007C1710" w:rsidP="007C1710">
      <w:pPr>
        <w:keepNext/>
        <w:keepLines/>
        <w:spacing w:before="0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W w:w="11098" w:type="dxa"/>
        <w:tblLayout w:type="fixed"/>
        <w:tblLook w:val="0400" w:firstRow="0" w:lastRow="0" w:firstColumn="0" w:lastColumn="0" w:noHBand="0" w:noVBand="1"/>
      </w:tblPr>
      <w:tblGrid>
        <w:gridCol w:w="2176"/>
        <w:gridCol w:w="8922"/>
      </w:tblGrid>
      <w:tr w:rsidR="007C1710" w:rsidTr="00DB567F"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DB567F">
            <w:pPr>
              <w:ind w:firstLine="113"/>
              <w:jc w:val="center"/>
              <w:rPr>
                <w:rFonts w:ascii="Verdana" w:eastAsia="Verdana" w:hAnsi="Verdana" w:cs="Verdana"/>
                <w:i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DB567F">
            <w:pPr>
              <w:keepNext/>
              <w:keepLines/>
              <w:spacing w:before="240" w:after="240" w:line="216" w:lineRule="auto"/>
              <w:ind w:left="0" w:right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white"/>
              </w:rPr>
            </w:pPr>
            <w:bookmarkStart w:id="0" w:name="_heading=h.30j0zll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white"/>
              </w:rPr>
              <w:t>PREMESSA:</w:t>
            </w:r>
          </w:p>
          <w:p w:rsidR="007C1710" w:rsidRDefault="007C1710" w:rsidP="00DB567F">
            <w:pPr>
              <w:keepNext/>
              <w:keepLines/>
              <w:spacing w:before="240" w:after="240" w:line="216" w:lineRule="auto"/>
              <w:ind w:left="0" w:right="0"/>
              <w:jc w:val="both"/>
              <w:rPr>
                <w:rFonts w:ascii="Verdana" w:eastAsia="Verdana" w:hAnsi="Verdana" w:cs="Verdana"/>
                <w:i/>
              </w:rPr>
            </w:pPr>
            <w:r>
              <w:rPr>
                <w:rFonts w:ascii="Verdana" w:eastAsia="Verdana" w:hAnsi="Verdana" w:cs="Verdana"/>
                <w:sz w:val="20"/>
                <w:szCs w:val="20"/>
                <w:highlight w:val="white"/>
              </w:rPr>
              <w:t>Sono la docente di italiano e storia in questa classe dalla quarta. Il gruppo classe era indietro nel programma in entrambe le discipline, ma, fin dall’inizio, tranne per due-tre studenti, si è dimostrato completamente disinteressato alla materia. Quasi tutti gli studenti non studiano, nonostante i continui stimoli e sollecitazioni avvenuti sia in classe sia fuori da parte mia, e saltano le interrogazioni programmate in accordo con loro, dimostrando di non avere ancora acquisito un atteggiamento maturo verso gli impegni presi. Il programma è completo per permettere ai pochi studenti, che hanno seguito diligentemente, di non venire ulteriormente penalizzati nella loro preparazione.</w:t>
            </w:r>
          </w:p>
        </w:tc>
      </w:tr>
      <w:tr w:rsidR="007C1710" w:rsidTr="00DB567F"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DB567F">
            <w:pPr>
              <w:ind w:firstLine="113"/>
              <w:jc w:val="center"/>
              <w:rPr>
                <w:rFonts w:ascii="Verdana" w:eastAsia="Verdana" w:hAnsi="Verdana" w:cs="Verdana"/>
                <w:i/>
              </w:rPr>
            </w:pPr>
            <w:r>
              <w:rPr>
                <w:rFonts w:ascii="Verdana" w:eastAsia="Verdana" w:hAnsi="Verdana" w:cs="Verdana"/>
                <w:i/>
              </w:rPr>
              <w:t>COMPETENZE CHIAVE PER L’APPRENDIMENTO PERMANENTE</w:t>
            </w: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DB567F">
            <w:pPr>
              <w:ind w:firstLine="113"/>
              <w:jc w:val="center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  <w:i/>
              </w:rPr>
              <w:t>COMPETENZE DISCIPLINARI</w:t>
            </w:r>
          </w:p>
        </w:tc>
      </w:tr>
      <w:tr w:rsidR="007C1710" w:rsidTr="00DB567F">
        <w:tc>
          <w:tcPr>
            <w:tcW w:w="21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ind w:firstLine="113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DB567F">
            <w:pPr>
              <w:ind w:firstLine="113"/>
              <w:rPr>
                <w:rFonts w:ascii="Verdana" w:eastAsia="Verdana" w:hAnsi="Verdana" w:cs="Verdana"/>
              </w:rPr>
            </w:pPr>
          </w:p>
        </w:tc>
      </w:tr>
      <w:tr w:rsidR="007C1710" w:rsidTr="00DB567F"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  <w:rPr>
                <w:i/>
              </w:rPr>
            </w:pPr>
            <w:r>
              <w:rPr>
                <w:rFonts w:ascii="Verdana" w:eastAsia="Verdana" w:hAnsi="Verdana" w:cs="Verdana"/>
              </w:rPr>
              <w:t>Competenza alfabetica-funzionale</w:t>
            </w: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Utilizzare il patrimonio lessicale ed espressivo della lingua italiana adeguandola a diversi scopi e ambiti comunicativi: artistico, letterario, culturale, socio-economico…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Padroneggiare gli strumenti espressivi e indispensabili per gestire l’interazione comunicativa verbale in vari contesti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Sapere argomentare in modo coerente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Riconoscere le linee di sviluppo storico - culturale della lingua e della cultura letteraria e artistica italiana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Analizzare e produrre testi scritti di vario tipo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Contestualizzare testi e opere letterarie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redigere relazioni tecniche e documentare le attività individuali e di gruppo relative a situazioni professionali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Stabilire nessi tra diversi argomenti della letteratura ed altre discipline o domini espressivi</w:t>
            </w:r>
          </w:p>
        </w:tc>
      </w:tr>
      <w:tr w:rsidR="007C1710" w:rsidTr="00DB567F"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  <w:rPr>
                <w:i/>
              </w:rPr>
            </w:pPr>
            <w:r>
              <w:rPr>
                <w:rFonts w:ascii="Verdana" w:eastAsia="Verdana" w:hAnsi="Verdana" w:cs="Verdana"/>
              </w:rPr>
              <w:t>Competenza digitale</w:t>
            </w: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  <w:rPr>
                <w:i/>
              </w:rPr>
            </w:pPr>
            <w:r>
              <w:rPr>
                <w:rFonts w:ascii="Verdana" w:eastAsia="Verdana" w:hAnsi="Verdana" w:cs="Verdana"/>
              </w:rPr>
              <w:t>Utilizzare tecnologie digitali per la presentazione di un progetto o di un prodotto e per opportuni approfondimenti tematici</w:t>
            </w:r>
          </w:p>
        </w:tc>
      </w:tr>
      <w:tr w:rsidR="007C1710" w:rsidTr="00DB567F">
        <w:trPr>
          <w:trHeight w:val="434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ind w:firstLine="113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DB567F">
            <w:pPr>
              <w:ind w:firstLine="113"/>
              <w:jc w:val="center"/>
              <w:rPr>
                <w:rFonts w:ascii="Verdana" w:eastAsia="Verdana" w:hAnsi="Verdana" w:cs="Verdana"/>
                <w:i/>
              </w:rPr>
            </w:pPr>
            <w:r>
              <w:rPr>
                <w:rFonts w:ascii="Verdana" w:eastAsia="Verdana" w:hAnsi="Verdana" w:cs="Verdana"/>
                <w:i/>
              </w:rPr>
              <w:t>COMPETENZE TRASVERSALI</w:t>
            </w:r>
          </w:p>
        </w:tc>
      </w:tr>
      <w:tr w:rsidR="007C1710" w:rsidTr="00DB567F"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Competenza personale, sociale e capacità di imparare a imparare</w:t>
            </w: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  <w:rPr>
                <w:i/>
              </w:rPr>
            </w:pPr>
            <w:r>
              <w:rPr>
                <w:rFonts w:ascii="Verdana" w:eastAsia="Verdana" w:hAnsi="Verdana" w:cs="Verdana"/>
              </w:rPr>
              <w:t>individuare e utilizzare gli strumenti di comunicazione e di team-</w:t>
            </w:r>
            <w:proofErr w:type="spellStart"/>
            <w:r>
              <w:rPr>
                <w:rFonts w:ascii="Verdana" w:eastAsia="Verdana" w:hAnsi="Verdana" w:cs="Verdana"/>
              </w:rPr>
              <w:t>working</w:t>
            </w:r>
            <w:proofErr w:type="spellEnd"/>
            <w:r>
              <w:rPr>
                <w:rFonts w:ascii="Verdana" w:eastAsia="Verdana" w:hAnsi="Verdana" w:cs="Verdana"/>
              </w:rPr>
              <w:t xml:space="preserve"> più appropriati per intervenire nei contesti organizzativi e professionali di riferimento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  <w:i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Effettuare diagnosi contestualizzate all’ambiente lavorativo e ai compiti da svolgere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Fronteggiare problemi e compiti adottando adeguate strategie</w:t>
            </w:r>
          </w:p>
        </w:tc>
      </w:tr>
      <w:tr w:rsidR="007C1710" w:rsidTr="00DB567F"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Competenza in materia di cittadinanza</w:t>
            </w: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Relazionarsi adeguatamente in rapporto all’ascolto e alla comunicazione</w:t>
            </w:r>
          </w:p>
        </w:tc>
      </w:tr>
      <w:tr w:rsidR="007C1710" w:rsidTr="00DB567F"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1710" w:rsidRDefault="007C1710" w:rsidP="00DB567F">
            <w:pPr>
              <w:widowControl w:val="0"/>
              <w:spacing w:before="0" w:line="276" w:lineRule="auto"/>
              <w:ind w:left="0" w:right="0"/>
              <w:rPr>
                <w:rFonts w:ascii="Verdana" w:eastAsia="Verdana" w:hAnsi="Verdana" w:cs="Verdana"/>
              </w:rPr>
            </w:pP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Capacità di lavorare in gruppo per il raggiungimento di obiettivi comuni</w:t>
            </w:r>
          </w:p>
        </w:tc>
      </w:tr>
      <w:tr w:rsidR="007C1710" w:rsidTr="00DB567F">
        <w:trPr>
          <w:trHeight w:val="70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</w:pPr>
            <w:r>
              <w:rPr>
                <w:rFonts w:ascii="Verdana" w:eastAsia="Verdana" w:hAnsi="Verdana" w:cs="Verdana"/>
              </w:rPr>
              <w:t>Competenza in materia di consapevolezza ed espressione culturale</w:t>
            </w:r>
          </w:p>
        </w:tc>
        <w:tc>
          <w:tcPr>
            <w:tcW w:w="8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710" w:rsidRDefault="007C1710" w:rsidP="007C1710">
            <w:pPr>
              <w:numPr>
                <w:ilvl w:val="0"/>
                <w:numId w:val="1"/>
              </w:numPr>
              <w:spacing w:before="0"/>
              <w:ind w:left="171" w:right="0" w:hanging="123"/>
              <w:rPr>
                <w:i/>
              </w:rPr>
            </w:pPr>
            <w:bookmarkStart w:id="1" w:name="_heading=h.1fob9te" w:colFirst="0" w:colLast="0"/>
            <w:bookmarkEnd w:id="1"/>
            <w:r>
              <w:rPr>
                <w:rFonts w:ascii="Verdana" w:eastAsia="Verdana" w:hAnsi="Verdana" w:cs="Verdana"/>
              </w:rPr>
              <w:t>Utilizzare gli strumenti culturali e metodologici per porsi con atteggiamento razionale, critico e responsabile di fronte alla realtà, ai suoi fenomeni, ai suoi problemi, anche ai fini dell’apprendimento permanente.</w:t>
            </w:r>
          </w:p>
        </w:tc>
      </w:tr>
    </w:tbl>
    <w:p w:rsidR="007C1710" w:rsidRDefault="007C1710" w:rsidP="007C1710">
      <w:pPr>
        <w:keepNext/>
        <w:keepLines/>
        <w:spacing w:before="0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br w:type="page"/>
      </w:r>
    </w:p>
    <w:p w:rsidR="007C1710" w:rsidRDefault="007C1710" w:rsidP="007C1710">
      <w:pPr>
        <w:keepNext/>
        <w:keepLines/>
        <w:spacing w:before="0"/>
        <w:ind w:left="0" w:right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W w:w="11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7"/>
        <w:gridCol w:w="7671"/>
      </w:tblGrid>
      <w:tr w:rsidR="007C1710" w:rsidTr="00DB567F">
        <w:tc>
          <w:tcPr>
            <w:tcW w:w="3427" w:type="dxa"/>
            <w:vAlign w:val="center"/>
          </w:tcPr>
          <w:p w:rsidR="007C1710" w:rsidRDefault="007C1710" w:rsidP="00DB567F">
            <w:pPr>
              <w:ind w:firstLine="113"/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7671" w:type="dxa"/>
            <w:vAlign w:val="center"/>
          </w:tcPr>
          <w:p w:rsidR="007C1710" w:rsidRDefault="007C1710" w:rsidP="00DB567F">
            <w:pPr>
              <w:ind w:firstLine="113"/>
              <w:jc w:val="center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CONOSCENZE/CONTENUTI ESSENZIALI</w:t>
            </w:r>
          </w:p>
        </w:tc>
      </w:tr>
      <w:tr w:rsidR="007C1710" w:rsidTr="00DB567F">
        <w:trPr>
          <w:trHeight w:val="1733"/>
        </w:trPr>
        <w:tc>
          <w:tcPr>
            <w:tcW w:w="3427" w:type="dxa"/>
          </w:tcPr>
          <w:p w:rsidR="007C1710" w:rsidRDefault="007C1710" w:rsidP="00DB567F">
            <w:pPr>
              <w:ind w:left="720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1. Riconoscere le linee di sviluppo storico- culturale  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della lingua e della cultura artistica e letteraria 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italiana dall’ Ottocento ad oggi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2. Dimostrare consapevolezza della storicità della   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lingua   e della letteratura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3. Contestualizzare testi e opere letterarie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4. Riconoscere i caratteri stilistici e strutturali di testi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letterari e artistici </w:t>
            </w:r>
          </w:p>
          <w:p w:rsidR="007C1710" w:rsidRDefault="007C1710" w:rsidP="00DB567F">
            <w:pPr>
              <w:ind w:left="720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5. Collegare tematiche letterarie a fenomeni della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contemporaneità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6. Leggere, comprendere e interpretare testi letterari</w:t>
            </w:r>
          </w:p>
          <w:p w:rsidR="007C1710" w:rsidRDefault="007C1710" w:rsidP="00DB567F">
            <w:pPr>
              <w:ind w:left="720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7. Consultare dizionari e altre fonti informative per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l’approfondimento e la produzione linguistica</w:t>
            </w:r>
          </w:p>
          <w:p w:rsidR="007C1710" w:rsidRDefault="007C1710" w:rsidP="00DB567F">
            <w:pPr>
              <w:ind w:left="72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_______________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8. Sostenere conversazioni e colloqui su tematiche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predefinite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9. Esporre e argomentare proprie  asserzioni e di altri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left="-108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10. Produrre testi di diversa tipologia e complessità,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utilizzando anche forme di comunicazione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visiva e multimediale</w:t>
            </w:r>
          </w:p>
        </w:tc>
        <w:tc>
          <w:tcPr>
            <w:tcW w:w="7671" w:type="dxa"/>
          </w:tcPr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1. Linee fondamentali del panorama storico letterario dalla seconda metà dell’Ottocento fino al secondo dopoguerra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2 Elementi qualificanti le diverse correnti letterarie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3.Caratteri fondamentali dei generi letterari e loro evoluzione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4. Conoscenza della produzione artistica degli autori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1.Evoluzione della lingua italiana dall’Ottocento ad oggi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2.Rapporto tra lingua e letteratura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3.Caratteristiche e struttura di testi scritti degli autori fondamentali che caratterizzano l’identità culturale italiana dall’Ottocento ad oggi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4.Linee di evoluzione della cultura e del sistema letterario dall’Ottocento ad oggi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5.Significative opere letterarie e artistiche dall’Ottocento ad oggi, anche di autori di altri Paesi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6.Rapporti tra la letteratura ed altre espressioni culturali e artistiche (arti figurative, architettura e cinematografia)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  <w:u w:val="single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7.Criteri per l’analisi di testi letterari di vario gener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8.Tecniche della comunicazione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9.Criteri per la redazione di un testo espositivo, narrativo, argomentativo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CONTENUTI ESSENZIALI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  <w:u w:val="single"/>
              </w:rPr>
              <w:t>Primo Trimestre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Parte propedeutica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: lo scenario storico, sociale e culturale della seconda metà dell’Ottocento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 xml:space="preserve">L’evoluzione del romanzo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Il Naturalismo francese: Emile Zola e il romanzo sperimentale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Il Verismo: caratteri generali, analogie e differenze con il Naturalismo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Verga: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Vita, opere e poetica la poetica: il canone dell’impersonalità e le tecniche narrative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Le opere: da “Vita dei campi : T2 Rosso Malpelo; da “Le Novelle Rusticane: T7 La roba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Dal Ciclo dei vinti: “I Malavoglia”: T4 Prefazione e T6L’epilogo dei Malavoglia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Lettura integrale e autonoma durante l’estate del romanzo “Mastro –don Gesualdo”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Il Simbolismo francese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visione del mondo e il rifiuto del Positivismo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dimensione dell’inconscio e l’uso di analogie e corrispondenze: Baudelaire e “I fiori del male”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Pascoli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Vita, opere e poetica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poetica del Fanciullino, i temi principali, l’ideologia politica e le soluzioni formali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Le opere: Il Fanciullino (pag.284),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Myricae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: T1 Novembre, T2, L’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assiuolo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, T3 Temporale, T4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Lavandare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, T6 X Agosto, “La grande proletaria si è mossa”(pubblicate foto su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classroom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e sul registro elettronico); Canti di Castelvecchio: T7 Il gelsomino notturno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  <w:u w:val="single"/>
              </w:rPr>
              <w:t xml:space="preserve">Secondo </w:t>
            </w:r>
            <w:proofErr w:type="spellStart"/>
            <w:r>
              <w:rPr>
                <w:rFonts w:ascii="Verdana" w:eastAsia="Verdana" w:hAnsi="Verdana" w:cs="Verdana"/>
                <w:b/>
                <w:i/>
                <w:sz w:val="16"/>
                <w:szCs w:val="16"/>
                <w:u w:val="single"/>
              </w:rPr>
              <w:t>Pentamestre</w:t>
            </w:r>
            <w:proofErr w:type="spellEnd"/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Il Decadentismo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complessità della sua definizione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La visione del mondo: estetismo, superomismo, edonismo nel contesto italiano ed 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lastRenderedPageBreak/>
              <w:t>europeo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D’Annunzio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Vita, opere e poetica L’estetismo e il romanzo “Il Piacere”: T1 Andrea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Sperelli</w:t>
            </w:r>
            <w:proofErr w:type="spellEnd"/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produzione lirica: le Laudi: T5 La pioggia nel pineto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Lo storico discorso di D’Annunzio sul Campidoglio(Roma, 17 maggio 1915)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Il primo Novecento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Le Avanguardie: Futurismo, Crepuscolarismo e Vociani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Marinetti e il T1 Manifesto dei futuristi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Svevo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Vita, opere e poetica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“La coscienza di Zeno”: T1 La prefazione del dottor S.; T3 Il fumo; T4 Augusta; T5 La catastrofe finale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Pirandello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Vita, opere e poetica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Le opere: T1 L’umorismo; i romanzi: Il fu Mattia Pascal: T1 Mattia Pascal e Adriano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Meis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, T3 Lo strappo nel cielo di carta; le novelle: Novelle per un anno: T6 Il treno ha fischiato; il teatro: Sei personaggi in cerca d’autore: T8 L’incontro con il capocomico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Quasimodo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T3 Alle fronde dei salici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Ungaretti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Vita, opere e poetica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Allegria di naufragi: contenuto, temi e strutture formali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Caratteristiche tematico-stilistiche e novità rispetto alla tradizione, testi: T6 I fiumi;T1 San Martino del carso, T2 Veglia, T3 Fratelli, T4 soldati, T5 In memoria, T9 Commiato; sentimento nel tempo T10 La madre; Il dolore T11 Non gridate più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Montale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Vita, opere e poetica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Ossi di Seppia: la concezione della poesia e il rapporto con la tradizione letteraria, testi: T1 Meriggiare pallido e assorto, T2 Non chiederci la parola, T3 Spesso il male di vivere ho incontrato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rappresentazione concreta del “male di vivere” e il modello del “correlativo oggettivo”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Le occasioni, testi: T5 La casa dei doganieri, T6 Non recidere forbice quel volto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Saba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Vita, opere e poetica 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Il Canzoniere: le fasi dell’elaborazione, la struttura e l’ideologia che lo ispira, i testi: Amai( pubblicato su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classroom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e su registro elettronico), T1 A mia moglie, T2 La capra, T3 goal, T4 Trieste e T7 Ulisse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Letture autonome estive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: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Verga “Mastro don Gesualdo”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Fenoglio “Una questione privata”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De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Amicis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“Amore e ginnastica”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Visione di documentari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su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Raiplay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dalla trasmissione L’attimo fuggente: vita di poeti e scrittori del novecento italiano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Lezione spettacolo “Bum! Ho i piedi che bruciano”</w:t>
            </w: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7C1710" w:rsidRDefault="007C1710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Uscita didattica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: a Salò e visita al Vittoriale degli italiani</w:t>
            </w:r>
          </w:p>
        </w:tc>
      </w:tr>
    </w:tbl>
    <w:p w:rsidR="00D559DB" w:rsidRDefault="00D559DB">
      <w:bookmarkStart w:id="2" w:name="_GoBack"/>
      <w:bookmarkEnd w:id="2"/>
    </w:p>
    <w:sectPr w:rsidR="00D559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221FA"/>
    <w:multiLevelType w:val="multilevel"/>
    <w:tmpl w:val="57560F9A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10"/>
    <w:rsid w:val="007C1710"/>
    <w:rsid w:val="00D5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1710"/>
    <w:pPr>
      <w:spacing w:before="40" w:after="0" w:line="240" w:lineRule="auto"/>
      <w:ind w:left="113" w:right="113"/>
    </w:pPr>
    <w:rPr>
      <w:rFonts w:ascii="Calibri" w:eastAsia="Calibri" w:hAnsi="Calibri" w:cs="Calibri"/>
      <w:color w:val="272727"/>
      <w:sz w:val="18"/>
      <w:szCs w:val="18"/>
      <w:lang w:val="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1710"/>
    <w:pPr>
      <w:spacing w:before="40" w:after="0" w:line="240" w:lineRule="auto"/>
      <w:ind w:left="113" w:right="113"/>
    </w:pPr>
    <w:rPr>
      <w:rFonts w:ascii="Calibri" w:eastAsia="Calibri" w:hAnsi="Calibri" w:cs="Calibri"/>
      <w:color w:val="272727"/>
      <w:sz w:val="18"/>
      <w:szCs w:val="18"/>
      <w:lang w:val="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</dc:creator>
  <cp:lastModifiedBy>Elisabetta</cp:lastModifiedBy>
  <cp:revision>1</cp:revision>
  <dcterms:created xsi:type="dcterms:W3CDTF">2023-06-14T15:26:00Z</dcterms:created>
  <dcterms:modified xsi:type="dcterms:W3CDTF">2023-06-14T15:27:00Z</dcterms:modified>
</cp:coreProperties>
</file>